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372 AO 1977 — Bannbruch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Bannbruch begeht, wer Gegenstände entgegen einem Verbot einführt, ausführt oder durchführt.</w:t>
      </w:r>
    </w:p>
    <w:p>
      <w:r>
        <w:t xml:space="preserve">(2) Der Täter wird nach § 370 Absatz 1, 2 bestraft, wenn die Tat nicht in anderen Vorschriften als Zuwiderhandlung gegen ein Einfuhr-, Ausfuhr- oder Durchfuhrverbot mit Strafe oder mit Geldbuße bedroht ist.</w:t>
      </w:r>
    </w:p>
    <w:p>
      <w:r>
        <w:rPr>
          <w:color w:val="555555"/>
          <w:sz w:val="17"/>
        </w:rPr>
        <w:t xml:space="preserve">Zitiervorschlag: § 372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