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366 AO 1977 — Form, Inhalt und Erteilung der Einspruchsentscheidung</w:t>
      </w:r>
    </w:p>
    <w:p>
      <w:r>
        <w:rPr>
          <w:color w:val="555555"/>
          <w:sz w:val="18"/>
        </w:rPr>
        <w:t xml:space="preserve">Abgabenordnung</w:t>
      </w:r>
    </w:p>
    <w:p>
      <w:r>
        <w:rPr>
          <w:color w:val="555555"/>
          <w:sz w:val="18"/>
        </w:rPr>
        <w:t xml:space="preserve">Stand: 13.04.2025 (konsolidierte Textfassung, kein amtliches Inkrafttretensdatum)</w:t>
      </w:r>
    </w:p>
    <w:p>
      <w:r>
        <w:t xml:space="preserve">Die Einspruchsentscheidung ist zu begründen, mit einer Rechtsbehelfsbelehrung zu versehen und den Beteiligten schriftlich oder elektronisch zu erteilen. Betrifft die Einspruchsentscheidung eine gesonderte und einheitliche Feststellung im Sinne des § 180 Absatz 1 Satz 1 Nummer 2 Buchstabe a und sind mehr als 50 Personen gemäß § 359 am Verfahren beteiligt, so kann auf die Nennung sämtlicher Einspruchsführer und Hinzugezogenen im Rubrum der Einspruchsentscheidung verzichtet werden, wenn dort die Person, der diese Einspruchsentscheidung jeweils bekannt gegeben wird, und die Anzahl der übrigen nicht namentlich bezeichneten Beteiligten angegeben wird.</w:t>
      </w:r>
    </w:p>
    <w:p>
      <w:r>
        <w:rPr>
          <w:color w:val="555555"/>
          <w:sz w:val="17"/>
        </w:rPr>
        <w:t xml:space="preserve">Zitiervorschlag: § 366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