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365 AO 1977 — Anwendung von Verfahrensvorschriften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Für das Verfahren über den Einspruch gelten im Übrigen die Vorschriften sinngemäß, die für den Erlass des angefochtenen oder des begehrten Verwaltungsakts gelten.</w:t>
      </w:r>
    </w:p>
    <w:p>
      <w:r>
        <w:t xml:space="preserve">(2) In den Fällen des § 93 Absatz 5, des § 96 Absatz 7 Satz 2 und der §§ 98 bis 100 ist den Beteiligten und ihren Bevollmächtigten und Beiständen (§ 80) Gelegenheit zu geben, an der Beweisaufnahme teilzunehmen.</w:t>
      </w:r>
    </w:p>
    <w:p>
      <w:r>
        <w:t xml:space="preserve">(3) Wird der angefochtene Verwaltungsakt geändert oder ersetzt, so wird der neue Verwaltungsakt Gegenstand des Einspruchsverfahrens. Satz 1 gilt entsprechend, wenn</w:t>
      </w:r>
    </w:p>
    <w:p>
      <w:pPr>
        <w:ind w:left="420"/>
      </w:pPr>
      <w:r>
        <w:t xml:space="preserve">1. ein Verwaltungsakt nach § 129 berichtigt wird oder</w:t>
      </w:r>
    </w:p>
    <w:p>
      <w:pPr>
        <w:ind w:left="420"/>
      </w:pPr>
      <w:r>
        <w:t xml:space="preserve">2. ein Verwaltungsakt an die Stelle eines angefochtenen unwirksamen Verwaltungsakts tritt.</w:t>
      </w:r>
    </w:p>
    <w:p>
      <w:r>
        <w:rPr>
          <w:color w:val="555555"/>
          <w:sz w:val="17"/>
        </w:rPr>
        <w:t xml:space="preserve">Zitiervorschlag: § 365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https://recht.nulegal.eu/gesetze/AO%201977/365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