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364b AO 1977 — Fristsetzung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Finanzbehörde kann dem Einspruchsführer eine Frist setzen</w:t>
      </w:r>
    </w:p>
    <w:p>
      <w:pPr>
        <w:ind w:left="420"/>
      </w:pPr>
      <w:r>
        <w:t xml:space="preserve">1. zur Angabe der Tatsachen, durch deren Berücksichtigung oder Nichtberücksichtigung er sich beschwert fühlt,</w:t>
      </w:r>
    </w:p>
    <w:p>
      <w:pPr>
        <w:ind w:left="420"/>
      </w:pPr>
      <w:r>
        <w:t xml:space="preserve">2. zur Erklärung über bestimmte klärungsbedürftige Punkte,</w:t>
      </w:r>
    </w:p>
    <w:p>
      <w:pPr>
        <w:ind w:left="420"/>
      </w:pPr>
      <w:r>
        <w:t xml:space="preserve">3. zur Bezeichnung von Beweismitteln oder zur Vorlage von Urkunden, soweit er dazu verpflichtet ist.</w:t>
      </w:r>
    </w:p>
    <w:p>
      <w:r>
        <w:t xml:space="preserve">(2) Erklärungen und Beweismittel, die erst nach Ablauf der nach Absatz 1 gesetzten Frist vorgebracht werden, sind nicht zu berücksichtigen. § 367 Absatz 2 Satz 2 bleibt unberührt. Bei Überschreitung der Frist gilt § 110 entsprechend.</w:t>
      </w:r>
    </w:p>
    <w:p>
      <w:r>
        <w:t xml:space="preserve">(3) Der Einspruchsführer ist mit der Fristsetzung über die Rechtsfolgen nach Absatz 2 zu belehren.</w:t>
      </w:r>
    </w:p>
    <w:p>
      <w:r>
        <w:rPr>
          <w:color w:val="555555"/>
          <w:sz w:val="17"/>
        </w:rPr>
        <w:t xml:space="preserve">Zitiervorschlag: § 364b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https://recht.nulegal.eu/gesetze/AO%201977/364b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