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364 AO 1977 — Offenlegung der Besteuerungsunterlagen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Den Beteiligten sind, soweit es noch nicht geschehen ist, die Unterlagen der Besteuerung auf Antrag oder, wenn die Begründung des Einspruchs dazu Anlass gibt, von Amts wegen offenzulegen.</w:t>
      </w:r>
    </w:p>
    <w:p>
      <w:r>
        <w:rPr>
          <w:color w:val="555555"/>
          <w:sz w:val="17"/>
        </w:rPr>
        <w:t xml:space="preserve">Zitiervorschlag: § 364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https://recht.nulegal.eu/gesetze/AO%201977/364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