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360 AO 1977 — Hinzuziehung zum Verfahren</w:t>
      </w:r>
    </w:p>
    <w:p>
      <w:r>
        <w:rPr>
          <w:color w:val="555555"/>
          <w:sz w:val="18"/>
        </w:rPr>
        <w:t xml:space="preserve">Abgabenordnung</w:t>
      </w:r>
    </w:p>
    <w:p>
      <w:r>
        <w:rPr>
          <w:color w:val="555555"/>
          <w:sz w:val="18"/>
        </w:rPr>
        <w:t xml:space="preserve">Stand: 13.04.2025 (konsolidierte Textfassung, kein amtliches Inkrafttretensdatum)</w:t>
      </w:r>
    </w:p>
    <w:p>
      <w:r>
        <w:t xml:space="preserve">(1) Die zur Entscheidung über den Einspruch berufene Finanzbehörde kann von Amts wegen oder auf Antrag andere hinzuziehen, deren rechtliche Interessen nach den Steuergesetzen durch die Entscheidung berührt werden, insbesondere solche, die nach den Steuergesetzen neben dem Steuerpflichtigen haften. Vor der Hinzuziehung ist derjenige zu hören, der den Einspruch eingelegt hat.</w:t>
      </w:r>
    </w:p>
    <w:p>
      <w:r>
        <w:t xml:space="preserve">(2) Wird eine Abgabe für einen anderen Abgabenberechtigten verwaltet, so kann dieser nicht deshalb hinzugezogen werden, weil seine Interessen als Abgabenberechtigter durch die Entscheidung berührt werden.</w:t>
      </w:r>
    </w:p>
    <w:p>
      <w:r>
        <w:t xml:space="preserve">(3) Sind an dem streitigen Rechtsverhältnis Dritte derart beteiligt, dass die Entscheidung auch ihnen gegenüber nur einheitlich ergehen kann, so sind sie hinzuzuziehen. Dies gilt nicht für Mitberechtigte, die nach § 352 nicht befugt sind, Einspruch einzulegen.</w:t>
      </w:r>
    </w:p>
    <w:p>
      <w:r>
        <w:t xml:space="preserve">(4) Wer zum Verfahren hinzugezogen worden ist, kann dieselben Rechte geltend machen, wie derjenige, der den Einspruch eingelegt hat.</w:t>
      </w:r>
    </w:p>
    <w:p>
      <w:r>
        <w:t xml:space="preserve">(5) Kommt nach Absatz 3 die Hinzuziehung von mehr als 50 Personen in Betracht, kann die Finanzbehörde anordnen, dass nur solche Personen hinzugezogen werden, die dies innerhalb einer bestimmten Frist beantragen. Von einer Einzelbekanntgabe der Anordnung kann abgesehen werden, wenn die Anordnung im Bundesanzeiger bekannt gemacht und außerdem in Tageszeitungen veröffentlicht wird, die in dem Bereich verbreitet sind, in dem sich die Entscheidung voraussichtlich auswirken wird. Die Frist muss mindestens drei Monate seit Veröffentlichung im Bundesanzeiger betragen. In der Veröffentlichung in Tageszeitungen ist mitzuteilen, an welchem Tage die Frist abläuft. Für die Wiedereinsetzung in den vorigen Stand wegen Versäumung der Frist gilt § 110 entsprechend. Die Finanzbehörde soll Personen, die von der Entscheidung erkennbar in besonderem Maße betroffen werden, auch ohne Antrag hinzuziehen.</w:t>
      </w:r>
    </w:p>
    <w:p>
      <w:r>
        <w:rPr>
          <w:color w:val="555555"/>
          <w:sz w:val="17"/>
        </w:rPr>
        <w:t xml:space="preserve">Zitiervorschlag: § 360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https://recht.nulegal.eu/gesetze/AO%201977/360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