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358 AO 1977 — Prüfung der Zulässigkeitsvoraussetzungen</w:t>
      </w:r>
    </w:p>
    <w:p>
      <w:r>
        <w:rPr>
          <w:color w:val="555555"/>
          <w:sz w:val="18"/>
        </w:rPr>
        <w:t xml:space="preserve">Abgabenordnung</w:t>
      </w:r>
    </w:p>
    <w:p>
      <w:r>
        <w:rPr>
          <w:color w:val="555555"/>
          <w:sz w:val="18"/>
        </w:rPr>
        <w:t xml:space="preserve">Stand: 13.04.2025 (konsolidierte Textfassung, kein amtliches Inkrafttretensdatum)</w:t>
      </w:r>
    </w:p>
    <w:p>
      <w:r>
        <w:t xml:space="preserve">Die zur Entscheidung über den Einspruch berufene Finanzbehörde hat zu prüfen, ob der Einspruch zulässig, insbesondere in der vorgeschriebenen Form und Frist eingelegt ist. Mangelt es an einem dieser Erfordernisse, so ist der Einspruch als unzulässig zu verwerfen.</w:t>
      </w:r>
    </w:p>
    <w:p>
      <w:r>
        <w:rPr>
          <w:color w:val="555555"/>
          <w:sz w:val="17"/>
        </w:rPr>
        <w:t xml:space="preserve">Zitiervorschlag: § 358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https://recht.nulegal.eu/gesetze/AO%201977/358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