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355 AO 1977 — Einspruchsfrist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Einspruch nach § 347 Absatz 1 Satz 1 ist innerhalb eines Monats nach Bekanntgabe des Verwaltungsakts einzulegen. Ein Einspruch gegen eine Steueranmeldung ist innerhalb eines Monats nach Eingang der Steueranmeldung bei der Finanzbehörde, in den Fällen des § 168 Satz 2 innerhalb eines Monats nach Bekanntwerden der Zustimmung, einzulegen.</w:t>
      </w:r>
    </w:p>
    <w:p>
      <w:r>
        <w:t xml:space="preserve">(2) Der Einspruch nach § 347 Absatz 1 Satz 2 ist unbefristet.</w:t>
      </w:r>
    </w:p>
    <w:p>
      <w:r>
        <w:rPr>
          <w:color w:val="555555"/>
          <w:sz w:val="17"/>
        </w:rPr>
        <w:t xml:space="preserve">Zitiervorschlag: § 355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