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353 AO 1977 — Einspruchsbefugnis des Rechtsnachfolgers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Wirkt ein Feststellungsbescheid, ein Grundsteuermessbescheid oder ein Zerlegungs- oder Zuteilungsbescheid über einen Grundsteuermessbetrag gegenüber dem Rechtsnachfolger, ohne dass er diesem bekannt gegeben worden ist (§ 182 Absatz 2, § 184 Absatz 1 Satz 4, §§ 185 und 190), so kann der Rechtsnachfolger nur innerhalb der für den Rechtsvorgänger maßgebenden Einspruchsfrist Einspruch einlegen.</w:t>
      </w:r>
    </w:p>
    <w:p>
      <w:r>
        <w:rPr>
          <w:color w:val="555555"/>
          <w:sz w:val="17"/>
        </w:rPr>
        <w:t xml:space="preserve">Zitiervorschlag: § 353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