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352 AO 1977 — Einspruchsbefugnis bei der gesonderten und einheitlichen Feststellung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Gegen Bescheide über die gesonderte und einheitliche Feststellung von Besteuerungsgrundlagen können Einspruch einlegen:</w:t>
      </w:r>
    </w:p>
    <w:p>
      <w:pPr>
        <w:ind w:left="420"/>
      </w:pPr>
      <w:r>
        <w:t xml:space="preserve">1. bei rechtsfähigen Personenvereinigungen:</w:t>
      </w:r>
    </w:p>
    <w:p>
      <w:pPr>
        <w:ind w:left="780"/>
      </w:pPr>
      <w:r>
        <w:t xml:space="preserve">a) die Personenvereinigung,</w:t>
      </w:r>
    </w:p>
    <w:p>
      <w:pPr>
        <w:ind w:left="780"/>
      </w:pPr>
      <w:r>
        <w:t xml:space="preserve">b) wenn die rechtsfähige Personenvereinigung nicht mehr besteht, jeder Gesellschafter oder Gemeinschafter, gegen den der Feststellungsbescheid ergangen ist oder zu ergehen hätte;</w:t>
      </w:r>
    </w:p>
    <w:p>
      <w:pPr>
        <w:ind w:left="420"/>
      </w:pPr>
      <w:r>
        <w:t xml:space="preserve">2. bei nicht rechtsfähigen Personenvereinigungen und in sonstigen Fällen:</w:t>
      </w:r>
    </w:p>
    <w:p>
      <w:pPr>
        <w:ind w:left="780"/>
      </w:pPr>
      <w:r>
        <w:t xml:space="preserve">a) der Einspruchsbefugte im Sinne des Absatzes 2,</w:t>
      </w:r>
    </w:p>
    <w:p>
      <w:pPr>
        <w:ind w:left="780"/>
      </w:pPr>
      <w:r>
        <w:t xml:space="preserve">b) wenn Personen nach Buchstabe a nicht vorhanden sind, jeder Gesellschafter, Gemeinschafter oder Mitberechtigte, gegen den der Feststellungsbescheid ergangen ist oder zu ergehen hätte;</w:t>
      </w:r>
    </w:p>
    <w:p>
      <w:pPr>
        <w:ind w:left="420"/>
      </w:pPr>
      <w:r>
        <w:t xml:space="preserve">3. in den Fällen des § 183 Absatz 2 Satz 1 Nummer 2 oder des § 183a Absatz 2 Satz 1 Nummer 2 jeder Gesellschafter, Gemeinschafter oder Mitberechtigte, gegen den der Feststellungsbescheid ergangen ist oder zu ergehen hätte;</w:t>
      </w:r>
    </w:p>
    <w:p>
      <w:pPr>
        <w:ind w:left="420"/>
      </w:pPr>
      <w:r>
        <w:t xml:space="preserve">4. soweit es sich darum handelt, wer an dem festgestellten Betrag beteiligt ist und wie dieser sich auf die einzelnen Beteiligten verteilt, jeder, der durch die Feststellungen hierzu berührt wird;</w:t>
      </w:r>
    </w:p>
    <w:p>
      <w:pPr>
        <w:ind w:left="420"/>
      </w:pPr>
      <w:r>
        <w:t xml:space="preserve">5. soweit es sich um eine Frage handelt, die einen Beteiligten persönlich angeht, jeder, der durch die Feststellungen über die Frage berührt wird.</w:t>
      </w:r>
    </w:p>
    <w:p>
      <w:r>
        <w:t xml:space="preserve">(2) Einspruchsbefugt im Sinne des Absatzes 1 Nummer 2 Buchstabe a ist der gemeinsame Empfangsbevollmächtigte im Sinne des § 183a Absatz 1 Satz 1 oder des § 6 Absatz 1 Satz 1 der Verordnung über die gesonderte Feststellung von Besteuerungsgrundlagen nach § 180 Abs. 2 der Abgabenordnung. Haben die Feststellungsbeteiligten keinen gemeinsamen Empfangsbevollmächtigten bestellt, ist einspruchsbefugt im Sinne des Absatzes 1 Nummer 2 Buchstabe a der nach § 183a Absatz 1 Satz 2 und 3 oder nach § 6 Absatz 1 Satz 3 und 4 der Verordnung über die gesonderte Feststellung von Besteuerungsgrundlagen nach § 180 Abs. 2 der Abgabenordnung von der Finanzbehörde bestimmte Empfangsbevollmächtigte; Absatz 1 Nummer 3 bleibt unberührt. Die Sätze 1 und 2 sind nur anwendbar, wenn die Beteiligten in der Feststellungserklärung oder in der Aufforderung zur Benennung eines Empfangsbevollmächtigten über die Einspruchsbefugnis des Empfangsbevollmächtigten belehrt worden sind.</w:t>
      </w:r>
    </w:p>
    <w:p>
      <w:r>
        <w:rPr>
          <w:color w:val="555555"/>
          <w:sz w:val="17"/>
        </w:rPr>
        <w:t xml:space="preserve">Zitiervorschlag: § 352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https://recht.nulegal.eu/gesetze/AO%201977/352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