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351 AO 1977 — Bindungswirkung anderer Verwaltungsakte</w:t>
      </w:r>
    </w:p>
    <w:p>
      <w:r>
        <w:rPr>
          <w:color w:val="555555"/>
          <w:sz w:val="18"/>
        </w:rPr>
        <w:t xml:space="preserve">Abgabenordnung</w:t>
      </w:r>
    </w:p>
    <w:p>
      <w:r>
        <w:rPr>
          <w:color w:val="555555"/>
          <w:sz w:val="18"/>
        </w:rPr>
        <w:t xml:space="preserve">Stand: 13.04.2025 (konsolidierte Textfassung, kein amtliches Inkrafttretensdatum)</w:t>
      </w:r>
    </w:p>
    <w:p>
      <w:r>
        <w:t xml:space="preserve">(1) Verwaltungsakte, die unanfechtbare Verwaltungsakte ändern, können nur insoweit angegriffen werden, als die Änderung reicht, es sei denn, dass sich aus den Vorschriften über die Aufhebung und Änderung von Verwaltungsakten etwas anderes ergibt.</w:t>
      </w:r>
    </w:p>
    <w:p>
      <w:r>
        <w:t xml:space="preserve">(2) Entscheidungen in einem Grundlagenbescheid (§ 171 Absatz 10) können nur durch Anfechtung dieses Bescheids, nicht auch durch Anfechtung des Folgebescheids, angegriffen werden.</w:t>
      </w:r>
    </w:p>
    <w:p>
      <w:r>
        <w:rPr>
          <w:color w:val="555555"/>
          <w:sz w:val="17"/>
        </w:rPr>
        <w:t xml:space="preserve">Zitiervorschlag: § 351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