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342 AO 1977 — Mehrheit von Schuldnern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Wird gegen mehrere Schuldner vollstreckt, so sind die Gebühren, auch wenn der Vollziehungsbeamte bei derselben Gelegenheit mehrere Vollstreckungshandlungen vornimmt, von jedem Vollstreckungsschuldner zu erheben.</w:t>
      </w:r>
    </w:p>
    <w:p>
      <w:r>
        <w:t xml:space="preserve">(2) Wird gegen Gesamtschuldner wegen der Gesamtschuld bei derselben Gelegenheit vollstreckt, so werden Pfändungs-, Wegnahme- und Verwertungsgebühren nur einmal erhoben. Die in Satz 1 bezeichneten Personen schulden die Gebühren als Gesamtschuldner.</w:t>
      </w:r>
    </w:p>
    <w:p>
      <w:r>
        <w:rPr>
          <w:color w:val="555555"/>
          <w:sz w:val="17"/>
        </w:rPr>
        <w:t xml:space="preserve">Zitiervorschlag: § 342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