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340 AO 1977 — Wegnahmegebühr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Wegnahmegebühr wird für die Wegnahme beweglicher Sachen einschließlich Urkunden in den Fällen der §§ 310, 315 Absatz 2 Satz 5, §§ 318, 321, 331 und 336 erhoben. Dies gilt auch dann, wenn der Vollstreckungsschuldner an den zur Vollstreckung erschienenen Vollziehungsbeamten freiwillig leistet.</w:t>
      </w:r>
    </w:p>
    <w:p>
      <w:r>
        <w:t xml:space="preserve">(2) § 339 Absatz 2 Nummer 1 ist entsprechend anzuwenden.</w:t>
      </w:r>
    </w:p>
    <w:p>
      <w:r>
        <w:t xml:space="preserve">(3) Die Höhe der Wegnahmegebühr beträgt 28,60 Euro. Die Gebühr wird auch erhoben, wenn die in Absatz 1 bezeichneten Sachen nicht aufzufinden sind.</w:t>
      </w:r>
    </w:p>
    <w:p>
      <w:r>
        <w:rPr>
          <w:color w:val="555555"/>
          <w:sz w:val="17"/>
        </w:rPr>
        <w:t xml:space="preserve">Zitiervorschlag: § 340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https://recht.nulegal.eu/gesetze/AO%201977/340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