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337 AO 1977 — Kosten der Vollstreckung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Im Vollstreckungsverfahren werden Kosten (Gebühren und Auslagen) erhoben. Schuldner dieser Kosten ist der Vollstreckungsschuldner.</w:t>
      </w:r>
    </w:p>
    <w:p>
      <w:r>
        <w:t xml:space="preserve">(2) Für das Mahnverfahren werden keine Kosten erhoben.</w:t>
      </w:r>
    </w:p>
    <w:p>
      <w:r>
        <w:rPr>
          <w:color w:val="555555"/>
          <w:sz w:val="17"/>
        </w:rPr>
        <w:t xml:space="preserve">Zitiervorschlag: § 337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https://recht.nulegal.eu/gesetze/AO%201977/337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