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32e AO 1977 — Verhältnis zu anderen Auskunfts- und Informationszugangsansprüchen</w:t>
      </w:r>
    </w:p>
    <w:p>
      <w:r>
        <w:rPr>
          <w:color w:val="555555"/>
          <w:sz w:val="18"/>
        </w:rPr>
        <w:t xml:space="preserve">Abgabenordnung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t xml:space="preserve">Soweit die betroffene Person oder ein Dritter nach dem Informationsfreiheitsgesetz vom 5. September 2005 (BGBl. I S. 2722) in der jeweils geltenden Fassung oder nach entsprechenden Gesetzen der Länder gegenüber der Finanzbehörde ein Anspruch auf Informationszugang hat, gelten die Artikel 12 bis 15 der Verordnung (EU) 2016/679 in Verbindung mit den §§ 32a bis 32d entsprechend. Weitergehende Informationsansprüche über steuerliche Daten sind insoweit ausgeschlossen. § 30 Absatz 4 Nummer 2 ist insoweit nicht anzuwenden.</w:t>
      </w:r>
    </w:p>
    <w:p>
      <w:r>
        <w:rPr>
          <w:color w:val="555555"/>
          <w:sz w:val="17"/>
        </w:rPr>
        <w:t xml:space="preserve">Zitiervorschlag: § 32e AO 1977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https://recht.nulegal.eu/gesetze/AO%201977/32e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