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32d AO 1977 — Form der Information oder Auskunftserteilung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Soweit Artikel 12 bis 15 der Verordnung (EU) 2016/679 keine Regelungen enthalten, bestimmt die Finanzbehörde das Verfahren, insbesondere die Form der Information oder der Auskunftserteilung, nach pflichtgemäßem Ermessen.</w:t>
      </w:r>
    </w:p>
    <w:p>
      <w:r>
        <w:t xml:space="preserve">(2) Die Finanzbehörde kann ihre Pflicht zur Information der betroffenen Person gemäß Artikel 13 oder 14 der Verordnung (EU) 2016/679 auch durch Bereitstellung der Informationen in der Öffentlichkeit erfüllen, soweit dadurch keine personenbezogenen Daten veröffentlicht werden.</w:t>
      </w:r>
    </w:p>
    <w:p>
      <w:r>
        <w:t xml:space="preserve">(3) Übermittelt die Finanzbehörde der betroffenen Person die Informationen über die Erhebung oder Verarbeitung personenbezogener Daten nach Artikel 13 oder 14 der Verordnung (EU) 2016/679 elektronisch oder erteilt sie der betroffenen Person die Auskunft nach Artikel 15 der Verordnung (EU) 2016/679 elektronisch, ist § 87a Absatz 7 oder 8 entsprechend anzuwenden.</w:t>
      </w:r>
    </w:p>
    <w:p>
      <w:r>
        <w:rPr>
          <w:color w:val="555555"/>
          <w:sz w:val="17"/>
        </w:rPr>
        <w:t xml:space="preserve">Zitiervorschlag: § 32d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https://recht.nulegal.eu/gesetze/AO%201977/32d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