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32b AO 1977 — Informationspflicht der Finanzbehörde, wenn personenbezogene Daten nicht bei der betroffenen Person erhoben wurden</w:t>
      </w:r>
    </w:p>
    <w:p>
      <w:r>
        <w:rPr>
          <w:color w:val="555555"/>
          <w:sz w:val="18"/>
        </w:rPr>
        <w:t xml:space="preserve">Abgabenordnung</w:t>
      </w:r>
    </w:p>
    <w:p>
      <w:r>
        <w:rPr>
          <w:color w:val="555555"/>
          <w:sz w:val="18"/>
        </w:rPr>
        <w:t xml:space="preserve">Stand: 13.04.2025 (konsolidierte Textfassung, kein amtliches Inkrafttretensdatum)</w:t>
      </w:r>
    </w:p>
    <w:p>
      <w:r>
        <w:t xml:space="preserve">(1) Die Pflicht der Finanzbehörde zur Information der betroffenen Person gemäß Artikel 14 Absatz 1, 2 und 4 der Verordnung (EU) 2016/679 besteht ergänzend zu den in Artikel 14 Absatz 5 der Verordnung (EU) 2016/679 und § 31c Absatz 2 genannten Ausnahmen nicht,</w:t>
      </w:r>
    </w:p>
    <w:p>
      <w:pPr>
        <w:ind w:left="420"/>
      </w:pPr>
      <w:r>
        <w:t xml:space="preserve">1. soweit die Erteilung der Information</w:t>
      </w:r>
    </w:p>
    <w:p>
      <w:pPr>
        <w:ind w:left="780"/>
      </w:pPr>
      <w:r>
        <w:t xml:space="preserve">a) die ordnungsgemäße Erfüllung der in der Zuständigkeit der Finanzbehörden oder anderer öffentlicher Stellen liegenden Aufgaben im Sinne des Artikel 23 Absatz 1 Buchstabe d bis h der Verordnung (EU) 2016/679 gefährden würde oder</w:t>
      </w:r>
    </w:p>
    <w:p>
      <w:pPr>
        <w:ind w:left="780"/>
      </w:pPr>
      <w:r>
        <w:t xml:space="preserve">b) die öffentliche Sicherheit oder Ordnung gefährden oder sonst dem Wohl des Bundes oder eines Landes Nachteile bereiten würde</w:t>
      </w:r>
    </w:p>
    <w:p>
      <w:r>
        <w:t xml:space="preserve">oder</w:t>
      </w:r>
    </w:p>
    <w:p>
      <w:pPr>
        <w:ind w:left="420"/>
      </w:pPr>
      <w:r>
        <w:t xml:space="preserve">2. wenn die Daten, ihre Herkunft, ihre Empfänger oder die Tatsache ihrer Verarbeitung nach § 30 oder einer anderen Rechtsvorschrift oder ihrem Wesen nach, insbesondere wegen überwiegender berechtigter Interessen eines Dritten im Sinne des Artikel 23 Absatz 1 Buchstabe i der Verordnung (EU) 2016/679, geheim gehalten werden müssen</w:t>
      </w:r>
    </w:p>
    <w:p>
      <w:r>
        <w:t xml:space="preserve">und deswegen das Interesse der betroffenen Person an der Informationserteilung zurücktreten muss. § 32a Absatz 2 gilt entsprechend.</w:t>
      </w:r>
    </w:p>
    <w:p>
      <w:r>
        <w:t xml:space="preserve">(2) Bezieht sich die Informationserteilung auf die Übermittlung personenbezogener Daten durch Finanzbehörden an Verfassungsschutzbehörden, den Bundesnachrichtendienst, den Militärischen Abschirmdienst und, soweit die Sicherheit des Bundes berührt wird, andere Behörden des Bundesministeriums der Verteidigung, ist sie nur mit Zustimmung dieser Stellen zulässig.</w:t>
      </w:r>
    </w:p>
    <w:p>
      <w:r>
        <w:t xml:space="preserve">(3) Unterbleibt eine Information der betroffenen Person nach Maßgabe der Absätze 1 oder 2, ergreift die Finanzbehörde geeignete Maßnahmen zum Schutz der berechtigten Interessen der betroffenen Person.</w:t>
      </w:r>
    </w:p>
    <w:p>
      <w:r>
        <w:t xml:space="preserve">* Gemäß Artikel 19 des Gesetzes vom 2. Dezember 2024 (BGBl. 2024 I Nr. 387) werden in § 32b Absatz 1 Satz 1 Nummer 2 nach den Wörtern „eines Dritten im Sinne des Artikels 23 Absatz 1 Buchstabe i der Verordnung (EU) 2016/679“ die Wörter „oder der Finanzbehörden im Sinne des Artikels 23 Absatz 1 Buchstabe e der Verordnung (EU) 2016/679“ eingefügt. Diese Rechtsänderung tritt nach Artikel 56 Absatz 9 des Gesetzes vom 2. Dezember 2024, BGBl. 2024 I Nr. 387, an dem Tag in Kraft, an dem das Erste Gesetz zur Änderung des Bundesdatenschutzgesetzes in Kraft tritt. Das Bundesministerium der Finanzen gibt den Tag des Inkrafttretens gesondert im Bundesgesetzblatt bekannt.</w:t>
      </w:r>
    </w:p>
    <w:p>
      <w:r>
        <w:rPr>
          <w:color w:val="555555"/>
          <w:sz w:val="17"/>
        </w:rPr>
        <w:t xml:space="preserve">Zitiervorschlag: § 32b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