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325 AO 1977 — Aufhebung des dinglichen Arrestes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Arrestanordnung ist aufzuheben, wenn nach ihrem Erlass Umstände bekannt werden, die die Arrestanordnung nicht mehr gerechtfertigt erscheinen lassen.</w:t>
      </w:r>
    </w:p>
    <w:p>
      <w:r>
        <w:rPr>
          <w:color w:val="555555"/>
          <w:sz w:val="17"/>
        </w:rPr>
        <w:t xml:space="preserve">Zitiervorschlag: § 325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