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AO 1977 — Mehrfache Pfändung einer Forderung</w:t>
      </w:r>
    </w:p>
    <w:p>
      <w:r>
        <w:rPr>
          <w:color w:val="555555"/>
          <w:sz w:val="18"/>
        </w:rPr>
        <w:t xml:space="preserve">Abgabenordnung</w:t>
      </w:r>
    </w:p>
    <w:p>
      <w:r>
        <w:rPr>
          <w:color w:val="555555"/>
          <w:sz w:val="18"/>
        </w:rPr>
        <w:t xml:space="preserve">Stand: 13.04.2025 (konsolidierte Textfassung, kein amtliches Inkrafttretensdatum)</w:t>
      </w:r>
    </w:p>
    <w:p>
      <w:r>
        <w:t xml:space="preserve">(1) Ist eine Forderung durch mehrere Vollstreckungsbehörden oder durch eine Vollstreckungsbehörde und ein Gericht gepfändet, so sind die §§ 853 bis 856 der Zivilprozessordnung und § 99 Absatz 1 Satz 1 des Gesetzes über Rechte an Luftfahrzeugen entsprechend anzuwenden.</w:t>
      </w:r>
    </w:p>
    <w:p>
      <w:r>
        <w:t xml:space="preserve">(2) Fehlt es an einem Amtsgericht, das nach den §§ 853 und 854 der Zivilprozessordnung zuständig wäre, so ist bei dem Amtsgericht zu hinterlegen, in dessen Bezirk die Vollstreckungsbehörde ihren Sitz hat, deren Pfändungsverfügung dem Drittschuldner zuerst zugestellt worden ist.</w:t>
      </w:r>
    </w:p>
    <w:p>
      <w:r>
        <w:rPr>
          <w:color w:val="555555"/>
          <w:sz w:val="17"/>
        </w:rPr>
        <w:t xml:space="preserve">Zitiervorschlag: § 320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