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31b AO 1977 — Mitteilungen zur Bekämpfung der Geldwäsche und der Terrorismusfinanzierung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Offenbarung der nach § 30 geschützten Daten der betroffenen Person an die jeweils zuständige Stelle ist auch ohne Ersuchen zulässig, soweit sie einem der folgenden Zwecke dient:</w:t>
      </w:r>
    </w:p>
    <w:p>
      <w:pPr>
        <w:ind w:left="420"/>
      </w:pPr>
      <w:r>
        <w:t xml:space="preserve">1. der Durchführung eines Strafverfahrens wegen Geldwäsche oder Terrorismusfinanzierung nach § 1 Absatz 1 und 2 des Geldwäschegesetzes,</w:t>
      </w:r>
    </w:p>
    <w:p>
      <w:pPr>
        <w:ind w:left="420"/>
      </w:pPr>
      <w:r>
        <w:t xml:space="preserve">2. der Verhinderung, Aufdeckung und Bekämpfung von Geldwäsche oder Terrorismusfinanzierung nach § 1 Absatz 1 und 2 des Geldwäschegesetzes,</w:t>
      </w:r>
    </w:p>
    <w:p>
      <w:pPr>
        <w:ind w:left="420"/>
      </w:pPr>
      <w:r>
        <w:t xml:space="preserve">3. der Durchführung eines Bußgeldverfahrens nach § 56 des Geldwäschegesetzes gegen Verpflichtete nach § 2 Absatz 1 Nummer 13 bis 16 des Geldwäschegesetzes,</w:t>
      </w:r>
    </w:p>
    <w:p>
      <w:pPr>
        <w:ind w:left="420"/>
      </w:pPr>
      <w:r>
        <w:t xml:space="preserve">4. dem Treffen von Maßnahmen und Anordnungen nach § 51 Absatz 2 des Geldwäschegesetzes gegenüber Verpflichteten nach § 2 Absatz 1 Nummer 13 bis 16 des Geldwäschegesetzes oder</w:t>
      </w:r>
    </w:p>
    <w:p>
      <w:pPr>
        <w:ind w:left="420"/>
      </w:pPr>
      <w:r>
        <w:t xml:space="preserve">5. der Wahrnehmung von Aufgaben nach § 28 Absatz 1 des Geldwäschegesetzes durch die Zentralstelle für Finanztransaktionsuntersuchungen.</w:t>
      </w:r>
    </w:p>
    <w:p>
      <w:r>
        <w:t xml:space="preserve">(2) Die Finanzbehörden haben der Zentralstelle für Finanztransaktionsuntersuchungen unverzüglich Sachverhalte unabhängig von deren Höhe mitzuteilen, wenn Tatsachen vorliegen, die darauf hindeuten, dass</w:t>
      </w:r>
    </w:p>
    <w:p>
      <w:pPr>
        <w:ind w:left="420"/>
      </w:pPr>
      <w:r>
        <w:t xml:space="preserve">1. es sich bei Vermögensgegenständen, die mit dem mitzuteilenden Sachverhalt im Zusammenhang stehen, um den Gegenstand einer Straftat nach § 261 des Strafgesetzbuchs handelt oder</w:t>
      </w:r>
    </w:p>
    <w:p>
      <w:pPr>
        <w:ind w:left="420"/>
      </w:pPr>
      <w:r>
        <w:t xml:space="preserve">2. die Vermögensgegenstände im Zusammenhang mit Terrorismusfinanzierung stehen.</w:t>
      </w:r>
    </w:p>
    <w:p>
      <w:r>
        <w:t xml:space="preserve">Mitteilungen an die Zentralstelle für Finanztransaktionsuntersuchungen sind durch elektronische Datenübermittlung zu erstatten; hierbei ist ein sicheres Verfahren zu verwenden, das die Vertraulichkeit und Integrität des Datensatzes gewährleistet. Im Fall einer Störung der Datenübertragung ist ausnahmsweise eine Mitteilung auf dem Postweg möglich. § 45 Absatz 3 und 4 des Geldwäschegesetzes gilt entsprechend.</w:t>
      </w:r>
    </w:p>
    <w:p>
      <w:r>
        <w:t xml:space="preserve">(2a) Die Finanzbehörden übermitteln der Zentralstelle für Finanztransaktionsuntersuchungen folgende Daten nach Maßgabe des § 31 Absatz 5 des Geldwäschegesetzes im automatisierten Verfahren, soweit dies zur Wahrnehmung der Aufgaben der Zentralstelle für Finanztransaktionsuntersuchungen nach § 28 Absatz 1 Satz 2 Nummer 2 des Geldwäschegesetzes erforderlich ist:</w:t>
      </w:r>
    </w:p>
    <w:p>
      <w:pPr>
        <w:ind w:left="420"/>
      </w:pPr>
      <w:r>
        <w:t xml:space="preserve">1. beim Bundeszentralamt für Steuern die nach § 5 Absatz 1 Nummer 13 des Finanzverwaltungsgesetzes vorgehaltenen Daten,</w:t>
      </w:r>
    </w:p>
    <w:p>
      <w:pPr>
        <w:ind w:left="420"/>
      </w:pPr>
      <w:r>
        <w:t xml:space="preserve">2. bei den Landesfinanzbehörden die zu einem Steuerpflichtigen gespeicherten Grundinformationen, die die Steuernummer, die Gewerbekennzahl, die Grund- und Zusatzkennbuchstaben, die Bankverbindung, die vergebene Umsatzsteuer-Identifikationsnummer sowie das zuständige Finanzamt umfassen.</w:t>
      </w:r>
    </w:p>
    <w:p>
      <w:r>
        <w:t xml:space="preserve">(2b) Wird von der Verordnungsermächtigung des § 22a des Grunderwerbsteuergesetzes zur elektronischen Übermittlung der Anzeige im Sinne des § 18 des Grunderwerbsteuergesetzes Gebrauch gemacht, übermitteln die Landesfinanzbehörden die dort eingegangenen Datensätze nach Maßgabe des § 31 Absatz 5a des Geldwäschegesetzes der Zentralstelle für Finanztransaktionsuntersuchungen zur Wahrnehmung ihrer Aufgaben nach § 28 Absatz 1 Satz 2 Nummer 2 des Geldwäschegesetzes im automatisierten Verfahren. Absatz 2 Satz 2 gilt entsprechend.</w:t>
      </w:r>
    </w:p>
    <w:p>
      <w:r>
        <w:t xml:space="preserve">(3) Die Finanzbehörden haben der zuständigen Verwaltungsbehörde unverzüglich solche Tatsachen mitzuteilen, die darauf schließen lassen, dass</w:t>
      </w:r>
    </w:p>
    <w:p>
      <w:pPr>
        <w:ind w:left="420"/>
      </w:pPr>
      <w:r>
        <w:t xml:space="preserve">1. ein Verpflichteter nach § 2 Absatz 1 Nummer 13 bis 16 des Geldwäschegesetzes eine Ordnungswidrigkeit nach § 56 des Geldwäschegesetzes begangen hat oder begeht oder</w:t>
      </w:r>
    </w:p>
    <w:p>
      <w:pPr>
        <w:ind w:left="420"/>
      </w:pPr>
      <w:r>
        <w:t xml:space="preserve">2. die Voraussetzungen für das Treffen von Maßnahmen und Anordnungen nach § 51 Absatz 2 des Geldwäschegesetzes gegenüber Verpflichteten nach § 2 Absatz 1 Nummer 13 bis 16 des Geldwäschegesetzes gegeben sind.</w:t>
      </w:r>
    </w:p>
    <w:p>
      <w:r>
        <w:t xml:space="preserve">(3a) Die Finanzbehörden übermitteln einer Koordinierenden Stelle eines Landes nach § 50c des Geldwäschegesetzes auf Ersuchen Name und Anschrift der bei ihnen geführten Steuerpflichtigen im Sinne des § 2 Absatz 1 Nummer 13, 14 oder Nummer 16 des Geldwäschegesetzes nach Maßgabe des § 55 Absatz 3b des Geldwäschegesetzes, geordnet nach Wirtschaftszweigen und Betriebsgrößenklassen. Sammelersuchen sind zulässig. Die von den Finanzbehörden an die zuständigen Koordinierenden Stellen nach § 50c des Geldwäschegesetzes übermittelten Daten können von diesen an die zuständigen Aufsichtsbehörden nach § 50 Nummer 9 des Geldwäschegesetzes zur Erfüllung ihrer Aufgaben nach dem Geldwäschegesetz weitergegeben werden.</w:t>
      </w:r>
    </w:p>
    <w:p>
      <w:r>
        <w:t xml:space="preserve">(4) § 47 Absatz 3 des Geldwäschegesetzes gilt entsprechend.</w:t>
      </w:r>
    </w:p>
    <w:p>
      <w:r>
        <w:rPr>
          <w:color w:val="555555"/>
          <w:sz w:val="17"/>
        </w:rPr>
        <w:t xml:space="preserve">Zitiervorschlag: § 31b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