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318 AO 1977 — Ansprüche auf Herausgabe oder Leistung von Sachen</w:t>
      </w:r>
    </w:p>
    <w:p>
      <w:r>
        <w:rPr>
          <w:color w:val="555555"/>
          <w:sz w:val="18"/>
        </w:rPr>
        <w:t xml:space="preserve">Abgabenordnung</w:t>
      </w:r>
    </w:p>
    <w:p>
      <w:r>
        <w:rPr>
          <w:color w:val="555555"/>
          <w:sz w:val="18"/>
        </w:rPr>
        <w:t xml:space="preserve">Stand: 13.04.2025 (konsolidierte Textfassung, kein amtliches Inkrafttretensdatum)</w:t>
      </w:r>
    </w:p>
    <w:p>
      <w:r>
        <w:t xml:space="preserve">(1) Für die Vollstreckung in Ansprüche auf Herausgabe oder Leistung von Sachen gelten außer den §§ 309 bis 317 die nachstehenden Vorschriften.</w:t>
      </w:r>
    </w:p>
    <w:p>
      <w:r>
        <w:t xml:space="preserve">(2) Bei der Pfändung eines Anspruchs, der eine bewegliche Sache betrifft, ordnet die Vollstreckungsbehörde an, dass die Sache an den Vollziehungsbeamten herauszugeben sei. Die Sache wird wie eine gepfändete Sache verwertet.</w:t>
      </w:r>
    </w:p>
    <w:p>
      <w:r>
        <w:t xml:space="preserve">(3) Bei Pfändung eines Anspruchs, der eine unbewegliche Sache betrifft, ordnet die Vollstreckungsbehörde an, dass die Sache an einen Treuhänder herauszugeben sei, den das Amtsgericht der belegenen Sache auf Antrag der Vollstreckungsbehörde bestellt. Ist der Anspruch auf Übertragung des Eigentums gerichtet, so ist dem Treuhänder als Vertreter des Vollstreckungsschuldners aufzulassen. Mit dem Übergang des Eigentums auf den Vollstreckungsschuldner erlangt die Körperschaft, der die Vollstreckungsbehörde angehört, eine Sicherungshypothek für die Forderung. Der Treuhänder hat die Eintragung der Sicherungshypothek zu bewilligen. Die Vollstreckung in die herausgegebene Sache wird nach den Vorschriften über die Vollstreckung in unbewegliche Sachen bewirkt.</w:t>
      </w:r>
    </w:p>
    <w:p>
      <w:r>
        <w:t xml:space="preserve">(4) Absatz 3 gilt entsprechend, wenn der Anspruch ein im Schiffsregister eingetragenes Schiff, ein Schiffsbauwerk oder Schwimmdock, das im Schiffsbauregister eingetragen ist oder in dieses Register eingetragen werden kann oder ein Luftfahrzeug betrifft, das in der Luftfahrzeugrolle eingetragen ist oder nach Löschung in der Luftfahrzeugrolle noch in dem Register für Pfandrechte an Luftfahrzeugen eingetragen ist.</w:t>
      </w:r>
    </w:p>
    <w:p>
      <w:r>
        <w:t xml:space="preserve">(5) Dem Treuhänder ist auf Antrag eine Entschädigung zu gewähren. Die Entschädigung darf die nach der Zwangsverwalterverordnung festzusetzende Vergütung nicht übersteigen.</w:t>
      </w:r>
    </w:p>
    <w:p>
      <w:r>
        <w:rPr>
          <w:color w:val="555555"/>
          <w:sz w:val="17"/>
        </w:rPr>
        <w:t xml:space="preserve">Zitiervorschlag: § 318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