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314 AO 1977 — Einziehungsverfügung</w:t>
      </w:r>
    </w:p>
    <w:p>
      <w:r>
        <w:rPr>
          <w:color w:val="555555"/>
          <w:sz w:val="18"/>
        </w:rPr>
        <w:t xml:space="preserve">Abgabenordnung</w:t>
      </w:r>
    </w:p>
    <w:p>
      <w:r>
        <w:rPr>
          <w:color w:val="555555"/>
          <w:sz w:val="18"/>
        </w:rPr>
        <w:t xml:space="preserve">Stand: 13.04.2025 (konsolidierte Textfassung, kein amtliches Inkrafttretensdatum)</w:t>
      </w:r>
    </w:p>
    <w:p>
      <w:r>
        <w:t xml:space="preserve">(1) Die Vollstreckungsbehörde ordnet die Einziehung der gepfändeten Forderung an. § 309 Absatz 2 gilt entsprechend.</w:t>
      </w:r>
    </w:p>
    <w:p>
      <w:r>
        <w:t xml:space="preserve">(2) Die Einziehungsverfügung kann mit der Pfändungsverfügung verbunden werden.</w:t>
      </w:r>
    </w:p>
    <w:p>
      <w:r>
        <w:t xml:space="preserve">(3) Wird die Einziehung eines bei einem Geldinstitut gepfändeten Guthabens eines Vollstreckungsschuldners, der eine natürliche Person ist, angeordnet, so gelten § 835 Absatz 3 Satz 2 und § 900 Absatz 1 der Zivilprozessordnung entsprechend.</w:t>
      </w:r>
    </w:p>
    <w:p>
      <w:r>
        <w:t xml:space="preserve">(4) Wird die Einziehung einer gepfändeten nicht wiederkehrend zahlbaren Vergütung eines Vollstreckungsschuldners, der eine natürliche Person ist, für persönlich geleistete Arbeiten oder Dienste oder sonstige Einkünfte, die kein Arbeitslohn sind, angeordnet, so gilt § 835 Absatz 4 der Zivilprozessordnung entsprechend.</w:t>
      </w:r>
    </w:p>
    <w:p>
      <w:r>
        <w:rPr>
          <w:color w:val="555555"/>
          <w:sz w:val="17"/>
        </w:rPr>
        <w:t xml:space="preserve">Zitiervorschlag: § 314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