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313 AO 1977 — Pfändung fortlaufender Bezüge</w:t>
      </w:r>
    </w:p>
    <w:p>
      <w:r>
        <w:rPr>
          <w:color w:val="555555"/>
          <w:sz w:val="18"/>
        </w:rPr>
        <w:t xml:space="preserve">Abgabenordnung</w:t>
      </w:r>
    </w:p>
    <w:p>
      <w:r>
        <w:rPr>
          <w:color w:val="555555"/>
          <w:sz w:val="18"/>
        </w:rPr>
        <w:t xml:space="preserve">Stand: 13.04.2025 (konsolidierte Textfassung, kein amtliches Inkrafttretensdatum)</w:t>
      </w:r>
    </w:p>
    <w:p>
      <w:r>
        <w:t xml:space="preserve">(1) Das Pfandrecht, das durch die Pfändung einer Gehaltsforderung oder einer ähnlichen in fortlaufenden Bezügen bestehenden Forderung erworben wird, erstreckt sich auch auf die Beträge, die später fällig werden.</w:t>
      </w:r>
    </w:p>
    <w:p>
      <w:r>
        <w:t xml:space="preserve">(2) Die Pfändung eines Diensteinkommens trifft auch das Einkommen, das der Vollstreckungsschuldner bei Versetzung in ein anderes Amt, Übertragung eines neuen Amts oder einer Gehaltserhöhung zu beziehen hat. Dies gilt nicht bei Wechsel des Dienstherrn.</w:t>
      </w:r>
    </w:p>
    <w:p>
      <w:r>
        <w:t xml:space="preserve">(3) Endet das Arbeits- oder Dienstverhältnis und begründen Vollstreckungsschuldner und Drittschuldner innerhalb von neun Monaten ein solches neu, so erstreckt sich die Pfändung auf die Forderung aus dem neuen Arbeits- oder Dienstverhältnis.</w:t>
      </w:r>
    </w:p>
    <w:p>
      <w:r>
        <w:rPr>
          <w:color w:val="555555"/>
          <w:sz w:val="17"/>
        </w:rPr>
        <w:t xml:space="preserve">Zitiervorschlag: § 313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