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309 AO 1977 — Pfändung einer Geldforderung</w:t>
      </w:r>
    </w:p>
    <w:p>
      <w:r>
        <w:rPr>
          <w:color w:val="555555"/>
          <w:sz w:val="18"/>
        </w:rPr>
        <w:t xml:space="preserve">Abgabenordnung</w:t>
      </w:r>
    </w:p>
    <w:p>
      <w:r>
        <w:rPr>
          <w:color w:val="555555"/>
          <w:sz w:val="18"/>
        </w:rPr>
        <w:t xml:space="preserve">Stand: 13.04.2025 (konsolidierte Textfassung, kein amtliches Inkrafttretensdatum)</w:t>
      </w:r>
    </w:p>
    <w:p>
      <w:r>
        <w:t xml:space="preserve">(1) Soll eine Geldforderung gepfändet werden, so hat die Vollstreckungsbehörde dem Drittschuldner schriftlich zu verbieten, an den Vollstreckungsschuldner zu zahlen, und dem Vollstreckungsschuldner schriftlich zu gebieten, sich jeder Verfügung über die Forderung, insbesondere ihrer Einziehung, zu enthalten (Pfändungsverfügung). Die elektronische Form ist ausgeschlossen.</w:t>
      </w:r>
    </w:p>
    <w:p>
      <w:r>
        <w:t xml:space="preserve">(2) Die Pfändung ist bewirkt, wenn die Pfändungsverfügung dem Drittschuldner zugestellt ist. Die an den Drittschuldner zuzustellende Pfändungsverfügung soll den beizutreibenden Geldbetrag nur in einer Summe, ohne Angabe der Steuerarten und der Zeiträume, für die er geschuldet wird, bezeichnen. Die Zustellung ist dem Vollstreckungsschuldner mitzuteilen.</w:t>
      </w:r>
    </w:p>
    <w:p>
      <w:r>
        <w:t xml:space="preserve">(3) Bei Pfändung des Guthabens eines Kontos des Vollstreckungsschuldners bei einem Kreditinstitut gelten die §§ 833a und 907 der Zivilprozessordnung entsprechend.</w:t>
      </w:r>
    </w:p>
    <w:p>
      <w:r>
        <w:rPr>
          <w:color w:val="555555"/>
          <w:sz w:val="17"/>
        </w:rPr>
        <w:t xml:space="preserve">Zitiervorschlag: § 309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309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