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307 AO 1977 — Anschlusspfändung</w:t>
      </w:r>
    </w:p>
    <w:p>
      <w:r>
        <w:rPr>
          <w:color w:val="555555"/>
          <w:sz w:val="18"/>
        </w:rPr>
        <w:t xml:space="preserve">Abgabenordnung</w:t>
      </w:r>
    </w:p>
    <w:p>
      <w:r>
        <w:rPr>
          <w:color w:val="555555"/>
          <w:sz w:val="18"/>
        </w:rPr>
        <w:t xml:space="preserve">Stand: 13.04.2025 (konsolidierte Textfassung, kein amtliches Inkrafttretensdatum)</w:t>
      </w:r>
    </w:p>
    <w:p>
      <w:r>
        <w:t xml:space="preserve">(1) Zur Pfändung bereits gepfändeter Sachen genügt die in die Niederschrift aufzunehmende Erklärung des Vollziehungsbeamten, dass er die Sache für die zu bezeichnende Forderung pfändet. Dem Vollstreckungsschuldner ist die weitere Pfändung mitzuteilen.</w:t>
      </w:r>
    </w:p>
    <w:p>
      <w:r>
        <w:t xml:space="preserve">(2) Ist die erste Pfändung für eine andere Vollstreckungsbehörde oder durch einen Gerichtsvollzieher erfolgt, so ist dieser Vollstreckungsbehörde oder dem Gerichtsvollzieher eine Abschrift der Niederschrift zu übersenden. Die gleiche Pflicht hat ein Gerichtsvollzieher, der eine Sache pfändet, die bereits im Auftrag einer Vollstreckungsbehörde gepfändet ist.</w:t>
      </w:r>
    </w:p>
    <w:p>
      <w:r>
        <w:rPr>
          <w:color w:val="555555"/>
          <w:sz w:val="17"/>
        </w:rPr>
        <w:t xml:space="preserve">Zitiervorschlag: § 307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