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306 AO 1977 — Vollstreckung in Ersatzteile von Luftfahrzeugen</w:t>
      </w:r>
    </w:p>
    <w:p>
      <w:r>
        <w:rPr>
          <w:color w:val="555555"/>
          <w:sz w:val="18"/>
        </w:rPr>
        <w:t xml:space="preserve">Abgabenordnung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Für die Vollstreckung in Ersatzteile, auf die sich ein Registerpfandrecht an einem Luftfahrzeug nach § 71 des Gesetzes über Rechte an Luftfahrzeugen erstreckt, gilt § 100 des Gesetzes über Rechte an Luftfahrzeugen; an die Stelle des Gerichtsvollziehers tritt der Vollziehungsbeamte.</w:t>
      </w:r>
    </w:p>
    <w:p>
      <w:r>
        <w:t xml:space="preserve">(2) Absatz 1 gilt für die Vollstreckung in Ersatzteile, auf die sich das Recht an einem ausländischen Luftfahrzeug erstreckt, mit der Maßgabe, dass die Vorschriften des § 106 Absatz 1 Nummer 2 und Absatz 4 des Gesetzes über Rechte an Luftfahrzeugen zu berücksichtigen sind.</w:t>
      </w:r>
    </w:p>
    <w:p>
      <w:r>
        <w:rPr>
          <w:color w:val="555555"/>
          <w:sz w:val="17"/>
        </w:rPr>
        <w:t xml:space="preserve">Zitiervorschlag: § 306 AO 1977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https://recht.nulegal.eu/gesetze/AO%201977/306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306 AO 1977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