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304 AO 1977 — Versteigerung ungetrennter Früchte</w:t>
      </w:r>
    </w:p>
    <w:p>
      <w:r>
        <w:rPr>
          <w:color w:val="555555"/>
          <w:sz w:val="18"/>
        </w:rPr>
        <w:t xml:space="preserve">Abgabenordnung</w:t>
      </w:r>
    </w:p>
    <w:p>
      <w:r>
        <w:rPr>
          <w:color w:val="555555"/>
          <w:sz w:val="18"/>
        </w:rPr>
        <w:t xml:space="preserve">Stand: 13.04.2025 (konsolidierte Textfassung, kein amtliches Inkrafttretensdatum)</w:t>
      </w:r>
    </w:p>
    <w:p>
      <w:r>
        <w:t xml:space="preserve">Gepfändete Früchte, die vom Boden noch nicht getrennt sind, dürfen erst nach der Reife versteigert werden. Der Vollziehungsbeamte hat sie abernten zu lassen, wenn er sie nicht vor der Trennung versteigert.</w:t>
      </w:r>
    </w:p>
    <w:p>
      <w:r>
        <w:rPr>
          <w:color w:val="555555"/>
          <w:sz w:val="17"/>
        </w:rPr>
        <w:t xml:space="preserve">Zitiervorschlag: § 304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https://recht.nulegal.eu/gesetze/AO%201977/304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