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295 AO 1977 — Unpfändbarkeit von Sachen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§§ 811 bis 811c, 813 Absatz 1 bis 3 und § 882a Absatz 4 der Zivilprozessordnung sowie die Beschränkungen und Verbote, die nach anderen gesetzlichen Vorschriften für die Pfändung von Sachen bestehen, gelten entsprechend. An die Stelle des Vollstreckungsgerichts tritt die Vollstreckungsbehörde.</w:t>
      </w:r>
    </w:p>
    <w:p>
      <w:r>
        <w:rPr>
          <w:color w:val="555555"/>
          <w:sz w:val="17"/>
        </w:rPr>
        <w:t xml:space="preserve">Zitiervorschlag: § 295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https://recht.nulegal.eu/gesetze/AO%201977/295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