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293 AO 1977 — Pfand- und Vorzugsrechte Dritter</w:t>
      </w:r>
    </w:p>
    <w:p>
      <w:r>
        <w:rPr>
          <w:color w:val="555555"/>
          <w:sz w:val="18"/>
        </w:rPr>
        <w:t xml:space="preserve">Abgabenordnung</w:t>
      </w:r>
    </w:p>
    <w:p>
      <w:r>
        <w:rPr>
          <w:color w:val="555555"/>
          <w:sz w:val="18"/>
        </w:rPr>
        <w:t xml:space="preserve">Stand: 13.04.2025 (konsolidierte Textfassung, kein amtliches Inkrafttretensdatum)</w:t>
      </w:r>
    </w:p>
    <w:p>
      <w:r>
        <w:t xml:space="preserve">(1) Der Pfändung einer Sache kann ein Dritter, der sich nicht im Besitz der Sache befindet, auf Grund eines Pfand- oder Vorzugsrechts nicht widersprechen. Er kann jedoch vorzugsweise Befriedigung aus dem Erlös verlangen ohne Rücksicht darauf, ob seine Forderung fällig ist oder nicht.</w:t>
      </w:r>
    </w:p>
    <w:p>
      <w:r>
        <w:t xml:space="preserve">(2) Für eine Klage auf vorzugsweise Befriedigung ist ausschließlich zuständig das ordentliche Gericht, in dessen Bezirk gepfändet worden ist. Wird die Klage gegen die Körperschaft, der die Vollstreckungsbehörde angehört, und gegen den Vollstreckungsschuldner gerichtet, so sind sie Streitgenossen.</w:t>
      </w:r>
    </w:p>
    <w:p>
      <w:r>
        <w:rPr>
          <w:color w:val="555555"/>
          <w:sz w:val="17"/>
        </w:rPr>
        <w:t xml:space="preserve">Zitiervorschlag: § 293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293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