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283 AO 1977 — Ausschluss von Gewährleistungsansprüchen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Wird ein Gegenstand auf Grund der Pfändung veräußert, so steht dem Erwerber wegen eines Mangels im Recht oder wegen eines Mangels der veräußerten Sache ein Anspruch auf Gewährleistung nicht zu.</w:t>
      </w:r>
    </w:p>
    <w:p>
      <w:r>
        <w:rPr>
          <w:color w:val="555555"/>
          <w:sz w:val="17"/>
        </w:rPr>
        <w:t xml:space="preserve">Zitiervorschlag: § 283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