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281 AO 1977 — Pfändung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Vollstreckung in das bewegliche Vermögen erfolgt durch Pfändung.</w:t>
      </w:r>
    </w:p>
    <w:p>
      <w:r>
        <w:t xml:space="preserve">(2) Die Pfändung darf nicht weiter ausgedehnt werden, als es zur Deckung der beizutreibenden Geldbeträge und der Kosten der Vollstreckung erforderlich ist.</w:t>
      </w:r>
    </w:p>
    <w:p>
      <w:r>
        <w:t xml:space="preserve">(3) Die Pfändung unterbleibt, wenn die Verwertung der pfändbaren Gegenstände einen Überschuss über die Kosten der Vollstreckung nicht erwarten lässt.</w:t>
      </w:r>
    </w:p>
    <w:p>
      <w:r>
        <w:rPr>
          <w:color w:val="555555"/>
          <w:sz w:val="17"/>
        </w:rPr>
        <w:t xml:space="preserve">Zitiervorschlag: § 281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