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280 AO 1977 — Änderung des Aufteilungsbescheids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Der Aufteilungsbescheid kann außer in den Fällen des § 129 nur geändert werden, wenn</w:t>
      </w:r>
    </w:p>
    <w:p>
      <w:pPr>
        <w:ind w:left="420"/>
      </w:pPr>
      <w:r>
        <w:t xml:space="preserve">1. nachträglich bekannt wird, dass die Aufteilung auf unrichtigen Angaben beruht und die rückständige Steuer infolge falscher Aufteilung ganz oder teilweise nicht beigetrieben werden konnte,</w:t>
      </w:r>
    </w:p>
    <w:p>
      <w:pPr>
        <w:ind w:left="420"/>
      </w:pPr>
      <w:r>
        <w:t xml:space="preserve">2. sich die rückständige Steuer durch Aufhebung oder Änderung der Steuerfestsetzung oder ihre Berichtigung nach § 129 erhöht oder vermindert.</w:t>
      </w:r>
    </w:p>
    <w:p>
      <w:r>
        <w:t xml:space="preserve">(2) Nach Beendigung der Vollstreckung ist eine Änderung des Aufteilungsbescheids oder seine Berichtigung nach § 129 nicht mehr zulässig.</w:t>
      </w:r>
    </w:p>
    <w:p>
      <w:r>
        <w:rPr>
          <w:color w:val="555555"/>
          <w:sz w:val="17"/>
        </w:rPr>
        <w:t xml:space="preserve">Zitiervorschlag: § 280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