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274 AO 1977 — Besonderer Aufteilungsmaßstab</w:t>
      </w:r>
    </w:p>
    <w:p>
      <w:r>
        <w:rPr>
          <w:color w:val="555555"/>
          <w:sz w:val="18"/>
        </w:rPr>
        <w:t xml:space="preserve">Abgabenordnung</w:t>
      </w:r>
    </w:p>
    <w:p>
      <w:r>
        <w:rPr>
          <w:color w:val="555555"/>
          <w:sz w:val="18"/>
        </w:rPr>
        <w:t xml:space="preserve">Stand: 13.04.2025 (konsolidierte Textfassung, kein amtliches Inkrafttretensdatum)</w:t>
      </w:r>
    </w:p>
    <w:p>
      <w:r>
        <w:t xml:space="preserve">Abweichend von den §§ 270 bis 273 kann die rückständige Steuer nach einem von den Gesamtschuldnern gemeinschaftlich vorgeschlagenen Maßstab aufgeteilt werden, wenn die Tilgung sichergestellt ist. Der gemeinschaftliche Vorschlag ist schriftlich einzureichen oder zur Niederschrift zu erklären; er ist von allen Gesamtschuldnern zu unterschreiben.</w:t>
      </w:r>
    </w:p>
    <w:p>
      <w:r>
        <w:rPr>
          <w:color w:val="555555"/>
          <w:sz w:val="17"/>
        </w:rPr>
        <w:t xml:space="preserve">Zitiervorschlag: § 274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