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271 AO 1977 — Aufteilungsmaßstab für die Vermögensteuer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Vermögensteuer ist wie folgt aufzuteilen:</w:t>
      </w:r>
    </w:p>
    <w:p>
      <w:pPr>
        <w:ind w:left="420"/>
      </w:pPr>
      <w:r>
        <w:t xml:space="preserve">1. Für die Berechnung des Vermögens und der Vermögensteuer der einzelnen Gesamtschuldner ist vorbehaltlich der Abweichungen in den Nummern 2 und 3 von den Vorschriften des Bewertungsgesetzes und des Vermögensteuergesetzes in der Fassung auszugehen, die der Zusammenveranlagung zugrunde gelegen hat.</w:t>
      </w:r>
    </w:p>
    <w:p>
      <w:pPr>
        <w:ind w:left="420"/>
      </w:pPr>
      <w:r>
        <w:t xml:space="preserve">2. Wirtschaftsgüter eines Ehegatten oder Lebenspartners, die bei der Zusammenveranlagung als land- und forstwirtschaftliches Vermögen oder als Betriebsvermögen dem anderen Ehegatten oder Lebenspartner zugerechnet worden sind, werden als eigenes land- und forstwirtschaftliches Vermögen oder als eigenes Betriebsvermögen behandelt.</w:t>
      </w:r>
    </w:p>
    <w:p>
      <w:pPr>
        <w:ind w:left="420"/>
      </w:pPr>
      <w:r>
        <w:t xml:space="preserve">3. Schulden, die nicht mit bestimmten, einem Gesamtschuldner zugerechneten Wirtschaftsgütern in wirtschaftlichem Zusammenhang stehen, werden bei den einzelnen Gesamtschuldnern nach gleichen Teilen abgesetzt, soweit sich ein bestimmter Schuldner nicht feststellen lässt.</w:t>
      </w:r>
    </w:p>
    <w:p>
      <w:r>
        <w:rPr>
          <w:color w:val="555555"/>
          <w:sz w:val="17"/>
        </w:rPr>
        <w:t xml:space="preserve">Zitiervorschlag: § 271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