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261 AO 1977 — Niederschlagung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Ansprüche aus dem Steuerschuldverhältnis dürfen niedergeschlagen werden, wenn zu erwarten ist, dass</w:t>
      </w:r>
    </w:p>
    <w:p>
      <w:pPr>
        <w:ind w:left="420"/>
      </w:pPr>
      <w:r>
        <w:t xml:space="preserve">1. die Erhebung keinen Erfolg haben wird oder</w:t>
      </w:r>
    </w:p>
    <w:p>
      <w:pPr>
        <w:ind w:left="420"/>
      </w:pPr>
      <w:r>
        <w:t xml:space="preserve">2. die Kosten der Erhebung außer Verhältnis zu dem zu erhebenden Betrag stehen werden.</w:t>
      </w:r>
    </w:p>
    <w:p>
      <w:r>
        <w:rPr>
          <w:color w:val="555555"/>
          <w:sz w:val="17"/>
        </w:rPr>
        <w:t xml:space="preserve">Zitiervorschlag: § 261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https://recht.nulegal.eu/gesetze/AO%201977/261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