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260 AO 1977 — Angabe des Schuldgrundes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Im Vollstreckungsauftrag oder in der Pfändungsverfügung ist für die beizutreibenden Geldbeträge der Schuldgrund anzugeben.</w:t>
      </w:r>
    </w:p>
    <w:p>
      <w:r>
        <w:rPr>
          <w:color w:val="555555"/>
          <w:sz w:val="17"/>
        </w:rPr>
        <w:t xml:space="preserve">Zitiervorschlag: § 260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https://recht.nulegal.eu/gesetze/AO%201977/260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