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251 AO 1977 — Vollstreckbare Verwaltungsakte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Verwaltungsakte können vollstreckt werden, soweit nicht ihre Vollziehung ausgesetzt oder die Vollziehung durch Einlegung eines Rechtsbehelfs gehemmt ist (§ 361; § 69 der Finanzgerichtsordnung). Einfuhr- und Ausfuhrabgabenbescheide können außerdem nur vollstreckt werden, soweit die Verpflichtung des Zollschuldners zur Abgabenentrichtung nicht ausgesetzt ist (Artikel 108 Absatz 3 des Zollkodex der Union).</w:t>
      </w:r>
    </w:p>
    <w:p>
      <w:r>
        <w:t xml:space="preserve">(2) Unberührt bleiben die Vorschriften der Insolvenzordnung sowie § 79 Absatz 2 des Bundesverfassungsgerichtsgesetzes. Die Finanzbehörde ist berechtigt, in den Fällen des § 201 Absatz 2, §§ 257 und 308 Absatz 1 der Insolvenzordnung sowie des § 71 des Unternehmensstabilisierungs- und -restrukturierungsgesetzes gegen den Schuldner im Verwaltungswege zu vollstrecken.</w:t>
      </w:r>
    </w:p>
    <w:p>
      <w:r>
        <w:t xml:space="preserve">(3) Macht die Finanzbehörde im Insolvenzverfahren einen Anspruch aus dem Steuerschuldverhältnis als Insolvenzforderung geltend, so stellt sie erforderlichenfalls die Insolvenzforderung durch schriftlichen oder elektronischen Verwaltungsakt fest.</w:t>
      </w:r>
    </w:p>
    <w:p>
      <w:r>
        <w:rPr>
          <w:color w:val="555555"/>
          <w:sz w:val="17"/>
        </w:rPr>
        <w:t xml:space="preserve">Zitiervorschlag: § 251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https://recht.nulegal.eu/gesetze/AO%201977/251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