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246 AO 1977 — Annahmewerte</w:t>
      </w:r>
    </w:p>
    <w:p>
      <w:r>
        <w:rPr>
          <w:color w:val="555555"/>
          <w:sz w:val="18"/>
        </w:rPr>
        <w:t xml:space="preserve">Abgabenordnung</w:t>
      </w:r>
    </w:p>
    <w:p>
      <w:r>
        <w:rPr>
          <w:color w:val="555555"/>
          <w:sz w:val="18"/>
        </w:rPr>
        <w:t xml:space="preserve">Stand: 13.04.2025 (konsolidierte Textfassung, kein amtliches Inkrafttretensdatum)</w:t>
      </w:r>
    </w:p>
    <w:p>
      <w:r>
        <w:t xml:space="preserve">Die Finanzbehörde bestimmt nach ihrem Ermessen, zu welchen Werten Gegenstände als Sicherheit anzunehmen sind. Der Annahmewert darf jedoch den bei einer Verwertung zu erwartenden Erlös abzüglich der Kosten der Verwertung nicht übersteigen. Er darf bei den in § 241 Absatz 1 Nummer 2 und 4 aufgeführten Gegenständen und bei beweglichen Sachen, die nach § 245 als Sicherheit angenommen werden, nicht unter den in § 234 Absatz 3, § 236 und § 237 Satz 1 des Bürgerlichen Gesetzbuchs genannten Werten liegen.</w:t>
      </w:r>
    </w:p>
    <w:p>
      <w:r>
        <w:rPr>
          <w:color w:val="555555"/>
          <w:sz w:val="17"/>
        </w:rPr>
        <w:t xml:space="preserve">Zitiervorschlag: § 246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