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239 AO 1977 — Festsetzung der Zinsen</w:t>
      </w:r>
    </w:p>
    <w:p>
      <w:r>
        <w:rPr>
          <w:color w:val="555555"/>
          <w:sz w:val="18"/>
        </w:rPr>
        <w:t xml:space="preserve">Abgabenordnung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Auf die Zinsen sind die für die Steuern geltenden Vorschriften entsprechend anzuwenden, jedoch beträgt die Festsetzungsfrist zwei Jahre. Die Festsetzungsfrist beginnt:</w:t>
      </w:r>
    </w:p>
    <w:p>
      <w:pPr>
        <w:ind w:left="420"/>
      </w:pPr>
      <w:r>
        <w:t xml:space="preserve">1. in den Fällen des § 233a mit Ablauf des Kalenderjahrs, in dem die Steuer festgesetzt, aufgehoben, geändert oder nach § 129 berichtigt worden ist,</w:t>
      </w:r>
    </w:p>
    <w:p>
      <w:pPr>
        <w:ind w:left="420"/>
      </w:pPr>
      <w:r>
        <w:t xml:space="preserve">2. in den Fällen des § 234 mit Ablauf des Kalenderjahrs, in dem die Stundung geendet hat,</w:t>
      </w:r>
    </w:p>
    <w:p>
      <w:pPr>
        <w:ind w:left="420"/>
      </w:pPr>
      <w:r>
        <w:t xml:space="preserve">3. in den Fällen des § 235 mit Ablauf des Kalenderjahrs, in dem die Festsetzung der hinterzogenen Steuern unanfechtbar geworden ist, jedoch nicht vor Ablauf des Kalenderjahrs, in dem ein eingeleitetes Strafverfahren rechtskräftig abgeschlossen worden ist,</w:t>
      </w:r>
    </w:p>
    <w:p>
      <w:pPr>
        <w:ind w:left="420"/>
      </w:pPr>
      <w:r>
        <w:t xml:space="preserve">4. in den Fällen des § 236 mit Ablauf des Kalenderjahrs, in dem die Steuer oder der Haftungsbetrag erstattet oder die Steuervergütung ausgezahlt worden ist,</w:t>
      </w:r>
    </w:p>
    <w:p>
      <w:pPr>
        <w:ind w:left="420"/>
      </w:pPr>
      <w:r>
        <w:t xml:space="preserve">5. in den Fällen des § 237 mit Ablauf des Kalenderjahrs, in dem ein Einspruch oder eine Anfechtungsklage endgültig erfolglos geblieben ist, und</w:t>
      </w:r>
    </w:p>
    <w:p>
      <w:pPr>
        <w:ind w:left="420"/>
      </w:pPr>
      <w:r>
        <w:t xml:space="preserve">6. in allen anderen Fällen mit Ablauf des Kalenderjahrs, in dem der Zinslauf endet.</w:t>
      </w:r>
    </w:p>
    <w:p>
      <w:r>
        <w:t xml:space="preserve">Die Festsetzungsfrist läuft in den Fällen des § 233a nicht ab, solange die Steuerfestsetzung, ihre Aufhebung, ihre Änderung oder ihre Berichtigung nach § 129 noch zulässig ist.</w:t>
      </w:r>
    </w:p>
    <w:p>
      <w:r>
        <w:t xml:space="preserve">(2) Zinsen sind auf volle Euro zum Vorteil des Steuerpflichtigen gerundet festzusetzen. Sie werden nur dann festgesetzt, wenn sie mindestens 10 Euro betragen.</w:t>
      </w:r>
    </w:p>
    <w:p>
      <w:r>
        <w:t xml:space="preserve">(3) Werden Besteuerungsgrundlagen gesondert festgestellt oder wird ein Steuermessbetrag festgesetzt, sind die Grundlagen für eine Festsetzung von Zinsen</w:t>
      </w:r>
    </w:p>
    <w:p>
      <w:pPr>
        <w:ind w:left="420"/>
      </w:pPr>
      <w:r>
        <w:t xml:space="preserve">1. nach § 233a in den Fällen des § 233a Absatz 2a oder</w:t>
      </w:r>
    </w:p>
    <w:p>
      <w:pPr>
        <w:ind w:left="420"/>
      </w:pPr>
      <w:r>
        <w:t xml:space="preserve">2. nach § 235</w:t>
      </w:r>
    </w:p>
    <w:p>
      <w:r>
        <w:t xml:space="preserve">gesondert festzustellen, soweit diese an Sachverhalte anknüpfen, die Gegenstand des Grundlagenbescheids sind.</w:t>
      </w:r>
    </w:p>
    <w:p>
      <w:r>
        <w:t xml:space="preserve">(4) Werden wegen einer Steueranmeldung, die nach § 168 Satz 1 einer Steuerfestsetzung unter Vorbehalt der Nachprüfung gleichsteht, Zinsen nach § 233a festgesetzt, so steht diese Zinsfestsetzung ebenfalls unter dem Vorbehalt der Nachprüfung.</w:t>
      </w:r>
    </w:p>
    <w:p>
      <w:r>
        <w:t xml:space="preserve">(5) Die Festsetzung von Zinsen nach § 233a hat Bindungswirkung für Zinsfestsetzungen nach den §§ 234, 235, 236 oder 237, soweit auf diese Zinsen nach § 233a festgesetzte Zinsen anzurechnen sind.</w:t>
      </w:r>
    </w:p>
    <w:p>
      <w:r>
        <w:rPr>
          <w:color w:val="555555"/>
          <w:sz w:val="17"/>
        </w:rPr>
        <w:t xml:space="preserve">Zitiervorschlag: § 239 AO 1977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https://recht.nulegal.eu/gesetze/AO%201977/239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