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22a AO 1977 — Zuständigkeit auf dem Festlandsockel oder an der ausschließlichen Wirtschaftszone</w:t>
      </w:r>
    </w:p>
    <w:p>
      <w:r>
        <w:rPr>
          <w:color w:val="555555"/>
          <w:sz w:val="18"/>
        </w:rPr>
        <w:t xml:space="preserve">Abgabenordnung</w:t>
      </w:r>
    </w:p>
    <w:p>
      <w:r>
        <w:rPr>
          <w:color w:val="555555"/>
          <w:sz w:val="18"/>
        </w:rPr>
        <w:t xml:space="preserve">Stand: 13.04.2025 (konsolidierte Textfassung, kein amtliches Inkrafttretensdatum)</w:t>
      </w:r>
    </w:p>
    <w:p>
      <w:r>
        <w:t xml:space="preserve">Die Zuständigkeit der Finanzbehörden der Länder nach den §§ 18 bis 22 oder nach den Steuergesetzen im Bereich des der Bundesrepublik Deutschland zustehenden Anteils an dem Festlandsockel und an der ausschließlichen Wirtschaftszone richtet sich nach dem Äquidistanzprinzip.</w:t>
      </w:r>
    </w:p>
    <w:p>
      <w:r>
        <w:rPr>
          <w:color w:val="555555"/>
          <w:sz w:val="17"/>
        </w:rPr>
        <w:t xml:space="preserve">Zitiervorschlag: § 22a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https://recht.nulegal.eu/gesetze/AO%201977/22a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