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 AO 1977 — Beginn der Verjährung</w:t>
      </w:r>
    </w:p>
    <w:p>
      <w:r>
        <w:rPr>
          <w:color w:val="555555"/>
          <w:sz w:val="18"/>
        </w:rPr>
        <w:t xml:space="preserve">Abgabenordnung</w:t>
      </w:r>
    </w:p>
    <w:p>
      <w:r>
        <w:rPr>
          <w:color w:val="555555"/>
          <w:sz w:val="18"/>
        </w:rPr>
        <w:t xml:space="preserve">Stand: 13.04.2025 (konsolidierte Textfassung, kein amtliches Inkrafttretensdatum)</w:t>
      </w:r>
    </w:p>
    <w:p>
      <w:r>
        <w:t xml:space="preserve">(1) Die Verjährung beginnt mit Ablauf des Kalenderjahrs, in dem der Anspruch erstmals fällig geworden ist. Sie beginnt jedoch nicht vor Ablauf des Kalenderjahrs, in dem die Festsetzung eines Anspruchs aus dem Steuerschuldverhältnis, ihre Aufhebung, Änderung oder Berichtigung nach § 129 wirksam geworden ist, aus der sich der Anspruch ergibt; eine Steueranmeldung steht einer Steuerfestsetzung gleich. Wird die Festsetzung oder Anmeldung eines Anspruchs aus dem Steuerschuldverhältnis aufgehoben, geändert oder nach § 129 berichtigt, so beginnt die Verjährung des gesamten Anspruchs erst mit Ablauf des Kalenderjahrs, in dem die Aufhebung, Änderung oder Berichtigung wirksam geworden ist.</w:t>
      </w:r>
    </w:p>
    <w:p>
      <w:r>
        <w:t xml:space="preserve">(2) Ist ein Haftungsbescheid ohne Zahlungsaufforderung ergangen, so beginnt die Verjährung mit Ablauf des Kalenderjahrs, in dem die Zahlungsaufforderung nachgeholt worden ist, spätestens aber fünf Jahre nach Ablauf des Kalenderjahrs, in dem der Haftungsbescheid wirksam geworden ist.</w:t>
      </w:r>
    </w:p>
    <w:p>
      <w:r>
        <w:rPr>
          <w:color w:val="555555"/>
          <w:sz w:val="17"/>
        </w:rPr>
        <w:t xml:space="preserve">Zitiervorschlag: § 229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