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227 AO 1977 — Erlass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Finanzbehörden können Ansprüche aus dem Steuerschuldverhältnis ganz oder zum Teil erlassen, wenn deren Einziehung nach Lage des einzelnen Falls unbillig wäre; unter den gleichen Voraussetzungen können bereits entrichtete Beträge erstattet oder angerechnet werden.</w:t>
      </w:r>
    </w:p>
    <w:p>
      <w:r>
        <w:rPr>
          <w:color w:val="555555"/>
          <w:sz w:val="17"/>
        </w:rPr>
        <w:t xml:space="preserve">Zitiervorschlag: § 227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