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220 AO 1977 — Fälligkeit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Fälligkeit von Ansprüchen aus dem Steuerschuldverhältnis richtet sich nach den Vorschriften der Steuergesetze.</w:t>
      </w:r>
    </w:p>
    <w:p>
      <w:r>
        <w:t xml:space="preserve">(2) Fehlt es an einer besonderen gesetzlichen Regelung über die Fälligkeit, so wird der Anspruch mit seiner Entstehung fällig, es sei denn, dass in einem nach § 254 erforderlichen Leistungsgebot eine Zahlungsfrist eingeräumt worden ist. Ergibt sich der Anspruch in den Fällen des Satzes 1 aus der Festsetzung von Ansprüchen aus dem Steuerschuldverhältnis, so tritt die Fälligkeit nicht vor Bekanntgabe der Festsetzung ein.</w:t>
      </w:r>
    </w:p>
    <w:p>
      <w:r>
        <w:rPr>
          <w:color w:val="555555"/>
          <w:sz w:val="17"/>
        </w:rPr>
        <w:t xml:space="preserve">Zitiervorschlag: § 220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