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219 AO 1977 — Zahlungsaufforderung bei Haftungsbescheiden</w:t>
      </w:r>
    </w:p>
    <w:p>
      <w:r>
        <w:rPr>
          <w:color w:val="555555"/>
          <w:sz w:val="18"/>
        </w:rPr>
        <w:t xml:space="preserve">Abgabenordnung</w:t>
      </w:r>
    </w:p>
    <w:p>
      <w:r>
        <w:rPr>
          <w:color w:val="555555"/>
          <w:sz w:val="18"/>
        </w:rPr>
        <w:t xml:space="preserve">Stand: 13.04.2025 (konsolidierte Textfassung, kein amtliches Inkrafttretensdatum)</w:t>
      </w:r>
    </w:p>
    <w:p>
      <w:r>
        <w:t xml:space="preserve">Wenn nichts anderes bestimmt ist, darf ein Haftungsschuldner auf Zahlung nur in Anspruch genommen werden, soweit die Vollstreckung in das bewegliche Vermögen des Steuerschuldners ohne Erfolg geblieben oder anzunehmen ist, dass die Vollstreckung aussichtslos sein würde. Diese Einschränkung gilt nicht, wenn die Haftung darauf beruht, dass der Haftungsschuldner Steuerhinterziehung oder Steuerhehlerei begangen hat oder gesetzlich verpflichtet war, Steuern einzubehalten und abzuführen oder zu Lasten eines anderen zu entrichten.</w:t>
      </w:r>
    </w:p>
    <w:p>
      <w:r>
        <w:rPr>
          <w:color w:val="555555"/>
          <w:sz w:val="17"/>
        </w:rPr>
        <w:t xml:space="preserve">Zitiervorschlag: § 219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