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209 AO 1977 — Gegenstand der Steueraufsicht</w:t>
      </w:r>
    </w:p>
    <w:p>
      <w:r>
        <w:rPr>
          <w:color w:val="555555"/>
          <w:sz w:val="18"/>
        </w:rPr>
        <w:t xml:space="preserve">Abgabenordnung</w:t>
      </w:r>
    </w:p>
    <w:p>
      <w:r>
        <w:rPr>
          <w:color w:val="555555"/>
          <w:sz w:val="18"/>
        </w:rPr>
        <w:t xml:space="preserve">Stand: 13.04.2025 (konsolidierte Textfassung, kein amtliches Inkrafttretensdatum)</w:t>
      </w:r>
    </w:p>
    <w:p>
      <w:r>
        <w:t xml:space="preserve">(1) Der Warenverkehr über die Grenze und in den Freizonen und Freilagern sowie die Gewinnung und Herstellung, Lagerung, Beförderung und gewerbliche Verwendung verbrauchsteuerpflichtiger Waren und der Handel mit verbrauchsteuerpflichtigen Waren unterliegen der zollamtlichen Überwachung (Steueraufsicht).</w:t>
      </w:r>
    </w:p>
    <w:p>
      <w:r>
        <w:t xml:space="preserve">(2) Der Steueraufsicht unterliegen ferner:</w:t>
      </w:r>
    </w:p>
    <w:p>
      <w:pPr>
        <w:ind w:left="420"/>
      </w:pPr>
      <w:r>
        <w:t xml:space="preserve">1. der Versand, die Ausfuhr, Lagerung, Verwendung, Vernichtung, Veredelung, Umwandlung und sonstige Bearbeitung oder Verarbeitung von Waren in einem Verbrauchsteuerverfahren,</w:t>
      </w:r>
    </w:p>
    <w:p>
      <w:pPr>
        <w:ind w:left="420"/>
      </w:pPr>
      <w:r>
        <w:t xml:space="preserve">2. die Herstellung und Ausfuhr von Waren, für die ein Erlass, eine Erstattung oder Vergütung von Verbrauchsteuer beansprucht wird.</w:t>
      </w:r>
    </w:p>
    <w:p>
      <w:r>
        <w:t xml:space="preserve">(3) Andere Sachverhalte unterliegen der Steueraufsicht, wenn es gesetzlich bestimmt ist.</w:t>
      </w:r>
    </w:p>
    <w:p>
      <w:r>
        <w:rPr>
          <w:color w:val="555555"/>
          <w:sz w:val="17"/>
        </w:rPr>
        <w:t xml:space="preserve">Zitiervorschlag: § 209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