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208a AO 1977 — Steuerfahndung des Bundeszentralamts für Steuern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Dem Bundeszentralamt für Steuern obliegt, soweit Aufgaben der Steuerverwaltung übertragen wurden, die Aufgabe nach § 208 Absatz 1 Satz 1 Nummer 3.</w:t>
      </w:r>
    </w:p>
    <w:p>
      <w:r>
        <w:t xml:space="preserve">(2) Hierzu hat es die Ermittlungsbefugnisse, die den Finanzämtern (Hauptzollämtern) zustehen. Die Einschränkungen des § 93 Absatz 1 Satz 3, Absatz 2 Satz 2 und des § 97 Absatz 2 gelten nicht; § 200 Absatz 1 Satz 1 und 2, Absatz 2 und 3 Satz 1 und 2 gilt sinngemäß, § 393 Absatz 1 bleibt unberührt.</w:t>
      </w:r>
    </w:p>
    <w:p>
      <w:r>
        <w:t xml:space="preserve">(3) Die Aufgaben und Befugnisse des Bundeszentralamts für Steuern im Übrigen bleiben unberührt.</w:t>
      </w:r>
    </w:p>
    <w:p>
      <w:r>
        <w:rPr>
          <w:color w:val="555555"/>
          <w:sz w:val="17"/>
        </w:rPr>
        <w:t xml:space="preserve">Zitiervorschlag: § 208a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https://recht.nulegal.eu/gesetze/AO%201977/208a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