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207 AO 1977 — Außerkrafttreten, Aufhebung und Änderung der verbindlichen Zusage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verbindliche Zusage tritt außer Kraft, wenn die Rechtsvorschriften, auf denen die Entscheidung beruht, geändert werden.</w:t>
      </w:r>
    </w:p>
    <w:p>
      <w:r>
        <w:t xml:space="preserve">(2) Die Finanzbehörde kann die verbindliche Zusage mit Wirkung für die Zukunft aufheben oder ändern.</w:t>
      </w:r>
    </w:p>
    <w:p>
      <w:r>
        <w:t xml:space="preserve">(3) Eine rückwirkende Aufhebung oder Änderung der verbindlichen Zusage ist nur zulässig, falls der Steuerpflichtige zustimmt oder wenn die Voraussetzungen des § 130 Absatz 2 Nummer 1 oder 2 vorliegen.</w:t>
      </w:r>
    </w:p>
    <w:p>
      <w:r>
        <w:rPr>
          <w:color w:val="555555"/>
          <w:sz w:val="17"/>
        </w:rPr>
        <w:t xml:space="preserve">Zitiervorschlag: § 207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