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206 AO 1977 — Bindungswirkung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Die verbindliche Zusage ist für die Besteuerung bindend, wenn sich der später verwirklichte Sachverhalt mit dem der verbindlichen Zusage zugrunde gelegten Sachverhalt deckt.</w:t>
      </w:r>
    </w:p>
    <w:p>
      <w:r>
        <w:t xml:space="preserve">(2) Absatz 1 gilt nicht, wenn die verbindliche Zusage zuungunsten des Antragstellers dem geltenden Recht widerspricht.</w:t>
      </w:r>
    </w:p>
    <w:p>
      <w:r>
        <w:rPr>
          <w:color w:val="555555"/>
          <w:sz w:val="17"/>
        </w:rPr>
        <w:t xml:space="preserve">Zitiervorschlag: § 206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https://recht.nulegal.eu/gesetze/AO%201977/206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