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193 AO 1977 — Zulässigkeit einer Außenprüfung</w:t>
      </w:r>
    </w:p>
    <w:p>
      <w:r>
        <w:rPr>
          <w:color w:val="555555"/>
          <w:sz w:val="18"/>
        </w:rPr>
        <w:t xml:space="preserve">Abgabenordnung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t xml:space="preserve">(1) Eine Außenprüfung ist zulässig bei Steuerpflichtigen, die einen gewerblichen oder land- und forstwirtschaftlichen Betrieb unterhalten, die freiberuflich tätig sind und bei Steuerpflichtigen im Sinne des § 147a.</w:t>
      </w:r>
    </w:p>
    <w:p>
      <w:r>
        <w:t xml:space="preserve">(2) Bei anderen als den in Absatz 1 bezeichneten Steuerpflichtigen ist eine Außenprüfung zulässig,</w:t>
      </w:r>
    </w:p>
    <w:p>
      <w:pPr>
        <w:ind w:left="420"/>
      </w:pPr>
      <w:r>
        <w:t xml:space="preserve">1. soweit sie die Verpflichtung dieser Steuerpflichtigen betrifft, für Rechnung eines anderen Steuern zu entrichten oder Steuern einzubehalten und abzuführen,</w:t>
      </w:r>
    </w:p>
    <w:p>
      <w:pPr>
        <w:ind w:left="420"/>
      </w:pPr>
      <w:r>
        <w:t xml:space="preserve">2. wenn die für die Besteuerung erheblichen Verhältnisse der Aufklärung bedürfen und eine Prüfung an Amtsstelle nach Art und Umfang des zu prüfenden Sachverhalts nicht zweckmäßig ist oder</w:t>
      </w:r>
    </w:p>
    <w:p>
      <w:pPr>
        <w:ind w:left="420"/>
      </w:pPr>
      <w:r>
        <w:t xml:space="preserve">3. wenn ein Steuerpflichtiger seinen Mitwirkungspflichten nach § 12 des Gesetzes zur Abwehr von Steuervermeidung und unfairem Steuerwettbewerb nicht nachkommt.</w:t>
      </w:r>
    </w:p>
    <w:p>
      <w:r>
        <w:rPr>
          <w:color w:val="555555"/>
          <w:sz w:val="17"/>
        </w:rPr>
        <w:t xml:space="preserve">Zitiervorschlag: § 193 AO 1977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https://recht.nulegal.eu/gesetze/AO%201977/193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