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190 AO 1977 — Zuteilungsverfahren</w:t>
      </w:r>
    </w:p>
    <w:p>
      <w:r>
        <w:rPr>
          <w:color w:val="555555"/>
          <w:sz w:val="18"/>
        </w:rPr>
        <w:t xml:space="preserve">Abgabenordnung</w:t>
      </w:r>
    </w:p>
    <w:p>
      <w:r>
        <w:rPr>
          <w:color w:val="555555"/>
          <w:sz w:val="18"/>
        </w:rPr>
        <w:t xml:space="preserve">Stand: 13.04.2025 (konsolidierte Textfassung, kein amtliches Inkrafttretensdatum)</w:t>
      </w:r>
    </w:p>
    <w:p>
      <w:r>
        <w:t xml:space="preserve">Ist ein Steuermessbetrag in voller Höhe einem Steuerberechtigten zuzuteilen, besteht aber Streit darüber, welchem Steuerberechtigten der Steuermessbetrag zusteht, so entscheidet die Finanzbehörde auf Antrag eines Beteiligten durch Zuteilungsbescheid. Die für das Zerlegungsverfahren geltenden Vorschriften sind entsprechend anzuwenden.</w:t>
      </w:r>
    </w:p>
    <w:p>
      <w:r>
        <w:rPr>
          <w:color w:val="555555"/>
          <w:sz w:val="17"/>
        </w:rPr>
        <w:t xml:space="preserve">Zitiervorschlag: § 190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https://recht.nulegal.eu/gesetze/AO%201977/190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